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802.xml.htm"/>
      <w:bookmarkStart w:id="1" w:name="kswkform4_1783369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MACDONALD SCOTT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5"/>
        <w:gridCol w:w="918"/>
        <w:gridCol w:w="787"/>
        <w:gridCol w:w="609"/>
        <w:gridCol w:w="346"/>
        <w:gridCol w:w="878"/>
        <w:gridCol w:w="438"/>
        <w:gridCol w:w="755"/>
        <w:gridCol w:w="1143"/>
        <w:gridCol w:w="984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28.86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14,926 RSUs scheduled to vest on July 3, 2026; (ii) 14,816 RSUs scheduled to vest on July 1, 2027; (iii) 8,933 RSUs scheduled to vest in three equal installments on August 4, 2026, 2027 and 2028; and (iv) 12,185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Held by the Scott D. Macdonald Living Trust dated April 21,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Scott D. Macdonald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8071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694</Words>
  <Characters>3699</Characters>
  <CharactersWithSpaces>4328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