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256.xml.htm"/>
      <w:bookmarkStart w:id="1" w:name="kswkform4_17860482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Hirsch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9"/>
        <w:gridCol w:w="916"/>
        <w:gridCol w:w="785"/>
        <w:gridCol w:w="608"/>
        <w:gridCol w:w="343"/>
        <w:gridCol w:w="963"/>
        <w:gridCol w:w="430"/>
        <w:gridCol w:w="750"/>
        <w:gridCol w:w="1165"/>
        <w:gridCol w:w="975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469,782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510,644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491,111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applicable tax withholding obligations upon the settlement of previously granted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44,577 RSUs scheduled to vest on July 1, 2027; (ii) 41,008 RSUs scheduled to vest in two equal installments on August 4, 2027 and 2028; (iii) 192,012 RSUs scheduled to vest in three equal installments on March 4, 2027, 2028 and 2029; and (iv) 112,146 RSUs scheduled to vest in two equal installments on December 31,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shares issued upon the settlement of previously granted performance-based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common shares withheld by the Issuer to satisfy applicable tax withholding obligations upon the settlement of previously granted performance-based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Held by the Jeffrey A. Hirsch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Jeffrey A. Hirsch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7660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754</Words>
  <Characters>4099</Characters>
  <CharactersWithSpaces>4760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