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837.xml.htm"/>
      <w:bookmarkStart w:id="1" w:name="kswkform4_17833698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Hirsch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9"/>
        <w:gridCol w:w="916"/>
        <w:gridCol w:w="785"/>
        <w:gridCol w:w="608"/>
        <w:gridCol w:w="343"/>
        <w:gridCol w:w="963"/>
        <w:gridCol w:w="430"/>
        <w:gridCol w:w="750"/>
        <w:gridCol w:w="1165"/>
        <w:gridCol w:w="975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28.86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391,307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49,928 RSUs scheduled to vest on July 3, 2026; (ii) 44,577 RSUs scheduled to vest on July 1, 2027; (iii) 61,517 RSUs scheduled to vest in three equal installments on August 4, 2026, 2027 and 2028; and (iv) 192,012 RSUs scheduled to vest in three equal installments on March 4,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the Jeffrey A. Hirsch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Jeffrey A. Hirsch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7660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689</Words>
  <Characters>3686</Characters>
  <CharactersWithSpaces>4310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