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2456.xml.htm"/>
      <w:bookmarkStart w:id="1" w:name="kswkform4_17835424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Hirsch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9"/>
        <w:gridCol w:w="916"/>
        <w:gridCol w:w="785"/>
        <w:gridCol w:w="608"/>
        <w:gridCol w:w="343"/>
        <w:gridCol w:w="963"/>
        <w:gridCol w:w="430"/>
        <w:gridCol w:w="750"/>
        <w:gridCol w:w="1165"/>
        <w:gridCol w:w="975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28.99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55,000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tax withholding obligations upon the vesting of previously granted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44,577 RSUs scheduled to vest on July 1, 2027; (ii) 61,517 RSUs scheduled to vest in three equal installments on August 4, 2026, 2027 and 2028; and (iii) 192,012 RSUs scheduled to vest in three equal installments on March 4,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by the Jeffrey A. Hirsch Revocable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Jeffrey A. Hirsch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7660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3644</Characters>
  <CharactersWithSpaces>4258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