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2449.xml.htm"/>
      <w:bookmarkStart w:id="1" w:name="kswkform4_17835424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MACDONALD SCOTT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8"/>
        <w:gridCol w:w="787"/>
        <w:gridCol w:w="609"/>
        <w:gridCol w:w="346"/>
        <w:gridCol w:w="878"/>
        <w:gridCol w:w="438"/>
        <w:gridCol w:w="755"/>
        <w:gridCol w:w="1143"/>
        <w:gridCol w:w="984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14,816 RSUs scheduled to vest on July 1, 2027; (ii) 8,933 RSUs scheduled to vest in three equal installments on August 4, 2026, 2027 and 2028; and (iii) 12,185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the Scott D. Macdonald Living Trust dated April 21,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Scott D. Macdonald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8071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3657</Characters>
  <CharactersWithSpaces>4276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